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4E" w:rsidRPr="00E32E4E" w:rsidRDefault="00E32E4E" w:rsidP="00E32E4E">
      <w:pPr>
        <w:spacing w:after="0" w:line="240" w:lineRule="auto"/>
        <w:rPr>
          <w:b/>
          <w:color w:val="4472C4" w:themeColor="accent5"/>
          <w:sz w:val="52"/>
        </w:rPr>
      </w:pPr>
      <w:bookmarkStart w:id="0" w:name="_GoBack"/>
      <w:bookmarkEnd w:id="0"/>
      <w:r w:rsidRPr="00E32E4E">
        <w:rPr>
          <w:b/>
          <w:color w:val="4472C4" w:themeColor="accent5"/>
          <w:sz w:val="52"/>
        </w:rPr>
        <w:t>Desatero pro pracovníky v oblasti APA</w:t>
      </w:r>
    </w:p>
    <w:p w:rsidR="00E32E4E" w:rsidRPr="00E32E4E" w:rsidRDefault="00E32E4E" w:rsidP="00E32E4E"/>
    <w:p w:rsidR="00044A53" w:rsidRPr="00044A53" w:rsidRDefault="00E32E4E" w:rsidP="00044A53">
      <w:pPr>
        <w:shd w:val="clear" w:color="auto" w:fill="D9D9D9" w:themeFill="background1" w:themeFillShade="D9"/>
        <w:spacing w:after="0" w:line="240" w:lineRule="auto"/>
        <w:jc w:val="both"/>
      </w:pPr>
      <w:r w:rsidRPr="00E32E4E">
        <w:t>Téměř vše co, se na přelomu 20. a 21. století v oblasti aplikovaných pohybových aktivit (APA), zejména pak na vysokoškolské úrovni, ale i v praxi v oblasti volného času, školní tělesné výchovy a v rámci Českého hnutí speciálních olympiád v České republice odehrálo, nese výraznou stopu práce profesorky Hany Válkové.  Profesorka Válková byla a je zdrojem stálé inspirace a autorkou mnoha myšlenek, podnětů, vědeckých prací a projektů, které znamenaly zásadní přínos pro formování celého oboru. Řada těchto myšlenek je obsažena v jedné z jejích publikací Teorie aplikovaných pohybových aktivit pro užití v praxi 1 (2012) a stala se základem předkládaného „Desatera pro pracovníky v oblasti APA“. Práce v oblasti APA je různorodá a nelze ji obsáhnout v několika bodech. Desatero nicméně vytváří základní ideový rámec, který je pro všechny odborníky v oblasti APA společný. Budiž návodem pro studenty, instruktory, trenéry, učitele, speciální pedagogy, asistenty pedagogů, sociální pracovníky, pracovníky v sociálních službách, terapeuty a jiné.</w:t>
      </w:r>
    </w:p>
    <w:p w:rsidR="00E32E4E" w:rsidRPr="00E32E4E" w:rsidRDefault="00E32E4E" w:rsidP="00E32E4E">
      <w:pPr>
        <w:spacing w:after="0" w:line="240" w:lineRule="auto"/>
        <w:rPr>
          <w:i/>
        </w:rPr>
      </w:pPr>
      <w:r w:rsidRPr="00E32E4E">
        <w:rPr>
          <w:i/>
        </w:rPr>
        <w:t>Motto</w:t>
      </w:r>
    </w:p>
    <w:p w:rsidR="00E32E4E" w:rsidRPr="00E32E4E" w:rsidRDefault="00E32E4E" w:rsidP="00E32E4E">
      <w:pPr>
        <w:spacing w:after="0" w:line="240" w:lineRule="auto"/>
        <w:jc w:val="both"/>
        <w:rPr>
          <w:i/>
        </w:rPr>
      </w:pPr>
      <w:r w:rsidRPr="00E32E4E">
        <w:rPr>
          <w:i/>
        </w:rPr>
        <w:t>I když si člověk jde svou cestou, má často rád, když ví, kam jde, po čem jde, jestli tudy šel první nebo ne, s kým jde nebo proč tam jde. Desatero (zásad) může být vhodným průvodcem při hledání rozhodnutí v práci i životě. Někdy nám tento návod umožní se dříve zamyslet, než konat a zvyšuje šanci, že tak učiníme správně.</w:t>
      </w:r>
    </w:p>
    <w:p w:rsidR="00E32E4E" w:rsidRPr="00E32E4E" w:rsidRDefault="00E32E4E" w:rsidP="00E32E4E">
      <w:pPr>
        <w:spacing w:after="0" w:line="240" w:lineRule="auto"/>
        <w:rPr>
          <w:b/>
          <w:sz w:val="18"/>
        </w:rPr>
      </w:pPr>
      <w:r w:rsidRPr="00E32E4E">
        <w:rPr>
          <w:b/>
          <w:sz w:val="18"/>
        </w:rPr>
        <w:t xml:space="preserve">Ondřej Ješina a Jitka Vařeková </w:t>
      </w:r>
    </w:p>
    <w:p w:rsidR="00E32E4E" w:rsidRPr="00E32E4E" w:rsidRDefault="00E32E4E" w:rsidP="00E32E4E">
      <w:pPr>
        <w:spacing w:after="0" w:line="240" w:lineRule="auto"/>
        <w:rPr>
          <w:b/>
          <w:sz w:val="18"/>
        </w:rPr>
      </w:pPr>
      <w:r w:rsidRPr="00E32E4E">
        <w:rPr>
          <w:b/>
          <w:sz w:val="18"/>
        </w:rPr>
        <w:t>pro Českou asociaci aplikovaných pohybových aktivit</w:t>
      </w:r>
    </w:p>
    <w:p w:rsidR="00044A53" w:rsidRDefault="00044A53" w:rsidP="00E32E4E">
      <w:pPr>
        <w:spacing w:after="0" w:line="240" w:lineRule="auto"/>
        <w:rPr>
          <w:b/>
          <w:color w:val="4472C4" w:themeColor="accent5"/>
          <w:sz w:val="24"/>
        </w:rPr>
      </w:pPr>
    </w:p>
    <w:p w:rsidR="00E32E4E" w:rsidRPr="00E32E4E" w:rsidRDefault="00E32E4E" w:rsidP="00E32E4E">
      <w:pPr>
        <w:spacing w:after="0" w:line="240" w:lineRule="auto"/>
        <w:rPr>
          <w:b/>
          <w:color w:val="4472C4" w:themeColor="accent5"/>
          <w:sz w:val="24"/>
        </w:rPr>
      </w:pPr>
      <w:r w:rsidRPr="00E32E4E">
        <w:rPr>
          <w:b/>
          <w:color w:val="4472C4" w:themeColor="accent5"/>
          <w:sz w:val="24"/>
        </w:rPr>
        <w:t>Flexibility!</w:t>
      </w:r>
    </w:p>
    <w:p w:rsidR="00E32E4E" w:rsidRPr="00E32E4E" w:rsidRDefault="00E32E4E" w:rsidP="00E32E4E">
      <w:pPr>
        <w:spacing w:after="0" w:line="240" w:lineRule="auto"/>
        <w:rPr>
          <w:b/>
          <w:color w:val="4472C4" w:themeColor="accent5"/>
          <w:sz w:val="24"/>
        </w:rPr>
      </w:pPr>
      <w:r w:rsidRPr="00E32E4E">
        <w:rPr>
          <w:b/>
          <w:color w:val="4472C4" w:themeColor="accent5"/>
          <w:sz w:val="24"/>
        </w:rPr>
        <w:t>Buď připravený pružně reagovat.</w:t>
      </w:r>
    </w:p>
    <w:p w:rsidR="00E32E4E" w:rsidRDefault="00E32E4E" w:rsidP="00E32E4E">
      <w:pPr>
        <w:spacing w:after="0" w:line="240" w:lineRule="auto"/>
      </w:pPr>
      <w:r>
        <w:t>Být flexibilní aneb „</w:t>
      </w:r>
      <w:proofErr w:type="spellStart"/>
      <w:r>
        <w:t>Be</w:t>
      </w:r>
      <w:proofErr w:type="spellEnd"/>
      <w:r>
        <w:t xml:space="preserve"> </w:t>
      </w:r>
      <w:proofErr w:type="spellStart"/>
      <w:r>
        <w:t>flexible</w:t>
      </w:r>
      <w:proofErr w:type="spellEnd"/>
      <w:r>
        <w:t>“ – být připravený pružně a kreativně reagovat na změny, které práce v oblasti APA přináší.</w:t>
      </w:r>
    </w:p>
    <w:p w:rsidR="00E32E4E" w:rsidRDefault="00E32E4E" w:rsidP="00E32E4E">
      <w:pPr>
        <w:spacing w:after="0" w:line="240" w:lineRule="auto"/>
        <w:rPr>
          <w:b/>
        </w:rPr>
      </w:pPr>
    </w:p>
    <w:p w:rsidR="00E32E4E" w:rsidRPr="00E32E4E" w:rsidRDefault="00E32E4E" w:rsidP="00E32E4E">
      <w:pPr>
        <w:spacing w:after="0" w:line="240" w:lineRule="auto"/>
        <w:rPr>
          <w:b/>
          <w:color w:val="4472C4" w:themeColor="accent5"/>
          <w:sz w:val="24"/>
        </w:rPr>
      </w:pPr>
      <w:proofErr w:type="spellStart"/>
      <w:r w:rsidRPr="00E32E4E">
        <w:rPr>
          <w:b/>
          <w:color w:val="4472C4" w:themeColor="accent5"/>
          <w:sz w:val="24"/>
        </w:rPr>
        <w:t>Accept</w:t>
      </w:r>
      <w:proofErr w:type="spellEnd"/>
      <w:r w:rsidRPr="00E32E4E">
        <w:rPr>
          <w:b/>
          <w:color w:val="4472C4" w:themeColor="accent5"/>
          <w:sz w:val="24"/>
        </w:rPr>
        <w:t xml:space="preserve"> </w:t>
      </w:r>
      <w:proofErr w:type="spellStart"/>
      <w:r w:rsidRPr="00E32E4E">
        <w:rPr>
          <w:b/>
          <w:color w:val="4472C4" w:themeColor="accent5"/>
          <w:sz w:val="24"/>
        </w:rPr>
        <w:t>differentness</w:t>
      </w:r>
      <w:proofErr w:type="spellEnd"/>
      <w:r w:rsidRPr="00E32E4E">
        <w:rPr>
          <w:b/>
          <w:color w:val="4472C4" w:themeColor="accent5"/>
          <w:sz w:val="24"/>
        </w:rPr>
        <w:t xml:space="preserve"> as normality!</w:t>
      </w:r>
    </w:p>
    <w:p w:rsidR="00E32E4E" w:rsidRPr="00E32E4E" w:rsidRDefault="00E32E4E" w:rsidP="00E32E4E">
      <w:pPr>
        <w:spacing w:after="0" w:line="240" w:lineRule="auto"/>
        <w:rPr>
          <w:b/>
          <w:color w:val="4472C4" w:themeColor="accent5"/>
          <w:sz w:val="24"/>
        </w:rPr>
      </w:pPr>
      <w:r w:rsidRPr="00E32E4E">
        <w:rPr>
          <w:b/>
          <w:color w:val="4472C4" w:themeColor="accent5"/>
          <w:sz w:val="24"/>
        </w:rPr>
        <w:t>Jinakost vnímej jako normu, nikoli jako překážku.</w:t>
      </w:r>
    </w:p>
    <w:p w:rsidR="00E32E4E" w:rsidRDefault="00E32E4E" w:rsidP="00E32E4E">
      <w:pPr>
        <w:spacing w:after="0" w:line="240" w:lineRule="auto"/>
      </w:pPr>
      <w:r>
        <w:t>Vnímat jinakost jako normu, nikoliv jako překážku nebo důvod k neposkytnutí služby, partnerské nebo profesní podpory.</w:t>
      </w:r>
    </w:p>
    <w:p w:rsidR="00044A53" w:rsidRDefault="00044A53" w:rsidP="00E32E4E">
      <w:pPr>
        <w:spacing w:after="0" w:line="240" w:lineRule="auto"/>
        <w:rPr>
          <w:b/>
          <w:color w:val="4472C4" w:themeColor="accent5"/>
          <w:sz w:val="24"/>
        </w:rPr>
      </w:pPr>
    </w:p>
    <w:p w:rsidR="00044A53" w:rsidRPr="00E32E4E" w:rsidRDefault="00044A53" w:rsidP="00044A53">
      <w:pPr>
        <w:spacing w:after="0" w:line="240" w:lineRule="auto"/>
        <w:rPr>
          <w:b/>
          <w:color w:val="4472C4" w:themeColor="accent5"/>
          <w:sz w:val="24"/>
        </w:rPr>
      </w:pPr>
      <w:proofErr w:type="spellStart"/>
      <w:r w:rsidRPr="00E32E4E">
        <w:rPr>
          <w:b/>
          <w:color w:val="4472C4" w:themeColor="accent5"/>
          <w:sz w:val="24"/>
        </w:rPr>
        <w:t>Cooperation</w:t>
      </w:r>
      <w:proofErr w:type="spellEnd"/>
      <w:r w:rsidRPr="00E32E4E">
        <w:rPr>
          <w:b/>
          <w:color w:val="4472C4" w:themeColor="accent5"/>
          <w:sz w:val="24"/>
        </w:rPr>
        <w:t>!</w:t>
      </w:r>
    </w:p>
    <w:p w:rsidR="00044A53" w:rsidRPr="00E32E4E" w:rsidRDefault="00044A53" w:rsidP="00044A53">
      <w:pPr>
        <w:spacing w:after="0" w:line="240" w:lineRule="auto"/>
        <w:rPr>
          <w:b/>
          <w:color w:val="4472C4" w:themeColor="accent5"/>
          <w:sz w:val="24"/>
        </w:rPr>
      </w:pPr>
      <w:r w:rsidRPr="00E32E4E">
        <w:rPr>
          <w:b/>
          <w:color w:val="4472C4" w:themeColor="accent5"/>
          <w:sz w:val="24"/>
        </w:rPr>
        <w:t>Spolupracuj s dalšími odborníky.</w:t>
      </w:r>
    </w:p>
    <w:p w:rsidR="00044A53" w:rsidRDefault="00044A53" w:rsidP="00044A53">
      <w:pPr>
        <w:spacing w:after="0" w:line="240" w:lineRule="auto"/>
      </w:pPr>
      <w:r>
        <w:t xml:space="preserve">Spolupracovat s ostatními odborníky (psychology, fyzioterapeuty, lékaři, protetiky, sociálními pracovníky). Pracovník v </w:t>
      </w:r>
      <w:proofErr w:type="gramStart"/>
      <w:r>
        <w:t>APA</w:t>
      </w:r>
      <w:proofErr w:type="gramEnd"/>
      <w:r>
        <w:t xml:space="preserve"> se nesmí stydět požádat o radu i ostatní spolupracovníky, případně je ke spolupráci vyzvat.</w:t>
      </w:r>
    </w:p>
    <w:p w:rsidR="00044A53" w:rsidRDefault="00044A53" w:rsidP="00E32E4E">
      <w:pPr>
        <w:spacing w:after="0" w:line="240" w:lineRule="auto"/>
        <w:rPr>
          <w:b/>
          <w:color w:val="4472C4" w:themeColor="accent5"/>
          <w:sz w:val="24"/>
        </w:rPr>
      </w:pPr>
    </w:p>
    <w:p w:rsidR="00044A53" w:rsidRPr="00E32E4E" w:rsidRDefault="00044A53" w:rsidP="00044A53">
      <w:pPr>
        <w:spacing w:after="0" w:line="240" w:lineRule="auto"/>
        <w:rPr>
          <w:b/>
          <w:color w:val="4472C4" w:themeColor="accent5"/>
          <w:sz w:val="24"/>
        </w:rPr>
      </w:pPr>
      <w:r w:rsidRPr="00E32E4E">
        <w:rPr>
          <w:b/>
          <w:color w:val="4472C4" w:themeColor="accent5"/>
          <w:sz w:val="24"/>
        </w:rPr>
        <w:t>(</w:t>
      </w:r>
      <w:proofErr w:type="spellStart"/>
      <w:r w:rsidRPr="00E32E4E">
        <w:rPr>
          <w:b/>
          <w:color w:val="4472C4" w:themeColor="accent5"/>
          <w:sz w:val="24"/>
        </w:rPr>
        <w:t>Im</w:t>
      </w:r>
      <w:proofErr w:type="spellEnd"/>
      <w:r w:rsidRPr="00E32E4E">
        <w:rPr>
          <w:b/>
          <w:color w:val="4472C4" w:themeColor="accent5"/>
          <w:sz w:val="24"/>
        </w:rPr>
        <w:t>)</w:t>
      </w:r>
      <w:proofErr w:type="spellStart"/>
      <w:r w:rsidRPr="00E32E4E">
        <w:rPr>
          <w:b/>
          <w:color w:val="4472C4" w:themeColor="accent5"/>
          <w:sz w:val="24"/>
        </w:rPr>
        <w:t>possible</w:t>
      </w:r>
      <w:proofErr w:type="spellEnd"/>
      <w:r w:rsidRPr="00E32E4E">
        <w:rPr>
          <w:b/>
          <w:color w:val="4472C4" w:themeColor="accent5"/>
          <w:sz w:val="24"/>
        </w:rPr>
        <w:t>?</w:t>
      </w:r>
    </w:p>
    <w:p w:rsidR="00044A53" w:rsidRPr="00E32E4E" w:rsidRDefault="00044A53" w:rsidP="00044A53">
      <w:pPr>
        <w:spacing w:after="0" w:line="240" w:lineRule="auto"/>
        <w:rPr>
          <w:b/>
          <w:color w:val="4472C4" w:themeColor="accent5"/>
          <w:sz w:val="24"/>
        </w:rPr>
      </w:pPr>
      <w:r w:rsidRPr="00E32E4E">
        <w:rPr>
          <w:b/>
          <w:color w:val="4472C4" w:themeColor="accent5"/>
          <w:sz w:val="24"/>
        </w:rPr>
        <w:t>Téměř vše je možné.</w:t>
      </w:r>
    </w:p>
    <w:p w:rsidR="00044A53" w:rsidRDefault="00044A53" w:rsidP="00044A53">
      <w:pPr>
        <w:spacing w:after="0" w:line="240" w:lineRule="auto"/>
      </w:pPr>
      <w:r>
        <w:t>Jen málo věcí je (ne)možných – neznamená to, že každá aktivita je pro všechny. Je však možné hledat cesty tak, abychom došli k vytyčenému cíli.</w:t>
      </w:r>
    </w:p>
    <w:p w:rsidR="00E32E4E" w:rsidRDefault="00E32E4E" w:rsidP="00E32E4E">
      <w:pPr>
        <w:spacing w:after="0" w:line="240" w:lineRule="auto"/>
      </w:pPr>
    </w:p>
    <w:p w:rsidR="00E32E4E" w:rsidRPr="00E32E4E" w:rsidRDefault="00E32E4E" w:rsidP="00E32E4E">
      <w:pPr>
        <w:spacing w:after="0" w:line="240" w:lineRule="auto"/>
        <w:rPr>
          <w:b/>
          <w:color w:val="4472C4" w:themeColor="accent5"/>
          <w:sz w:val="24"/>
        </w:rPr>
      </w:pPr>
      <w:proofErr w:type="spellStart"/>
      <w:r w:rsidRPr="00E32E4E">
        <w:rPr>
          <w:b/>
          <w:color w:val="4472C4" w:themeColor="accent5"/>
          <w:sz w:val="24"/>
        </w:rPr>
        <w:t>Locomotion</w:t>
      </w:r>
      <w:proofErr w:type="spellEnd"/>
      <w:r w:rsidRPr="00E32E4E">
        <w:rPr>
          <w:b/>
          <w:color w:val="4472C4" w:themeColor="accent5"/>
          <w:sz w:val="24"/>
        </w:rPr>
        <w:t>.</w:t>
      </w:r>
    </w:p>
    <w:p w:rsidR="00E32E4E" w:rsidRPr="00E32E4E" w:rsidRDefault="00E32E4E" w:rsidP="00E32E4E">
      <w:pPr>
        <w:spacing w:after="0" w:line="240" w:lineRule="auto"/>
        <w:rPr>
          <w:b/>
          <w:color w:val="4472C4" w:themeColor="accent5"/>
          <w:sz w:val="24"/>
        </w:rPr>
      </w:pPr>
      <w:r w:rsidRPr="00E32E4E">
        <w:rPr>
          <w:b/>
          <w:color w:val="4472C4" w:themeColor="accent5"/>
          <w:sz w:val="24"/>
        </w:rPr>
        <w:t>Hýbej se, buď aktivní!</w:t>
      </w:r>
    </w:p>
    <w:p w:rsidR="00E32E4E" w:rsidRDefault="00E32E4E" w:rsidP="00E32E4E">
      <w:pPr>
        <w:spacing w:after="0" w:line="240" w:lineRule="auto"/>
      </w:pPr>
      <w:r>
        <w:t>Pohyb je život aneb „Chvála pohybu“ – pokud není možné pohyb ani na základě modifikací samostatně provádět, pak je možný s asistencí, případně se hýbe okolí. Pohyb není jen lokomoce, ale lze jej vnímat i jeho duchovní nebo sociální rozměr. Důležité je nezůstat nečinný samostatně v prostoru.</w:t>
      </w:r>
    </w:p>
    <w:p w:rsidR="00044A53" w:rsidRDefault="00044A53" w:rsidP="00E32E4E">
      <w:pPr>
        <w:spacing w:after="0" w:line="240" w:lineRule="auto"/>
      </w:pPr>
    </w:p>
    <w:p w:rsidR="00E32E4E" w:rsidRPr="00E32E4E" w:rsidRDefault="00E32E4E" w:rsidP="00E32E4E">
      <w:pPr>
        <w:spacing w:after="0" w:line="240" w:lineRule="auto"/>
        <w:rPr>
          <w:b/>
          <w:color w:val="4472C4" w:themeColor="accent5"/>
          <w:sz w:val="24"/>
        </w:rPr>
      </w:pPr>
      <w:proofErr w:type="spellStart"/>
      <w:r w:rsidRPr="00E32E4E">
        <w:rPr>
          <w:b/>
          <w:color w:val="4472C4" w:themeColor="accent5"/>
          <w:sz w:val="24"/>
        </w:rPr>
        <w:lastRenderedPageBreak/>
        <w:t>Identify</w:t>
      </w:r>
      <w:proofErr w:type="spellEnd"/>
      <w:r w:rsidRPr="00E32E4E">
        <w:rPr>
          <w:b/>
          <w:color w:val="4472C4" w:themeColor="accent5"/>
          <w:sz w:val="24"/>
        </w:rPr>
        <w:t xml:space="preserve"> </w:t>
      </w:r>
      <w:proofErr w:type="spellStart"/>
      <w:r w:rsidRPr="00E32E4E">
        <w:rPr>
          <w:b/>
          <w:color w:val="4472C4" w:themeColor="accent5"/>
          <w:sz w:val="24"/>
        </w:rPr>
        <w:t>the</w:t>
      </w:r>
      <w:proofErr w:type="spellEnd"/>
      <w:r w:rsidRPr="00E32E4E">
        <w:rPr>
          <w:b/>
          <w:color w:val="4472C4" w:themeColor="accent5"/>
          <w:sz w:val="24"/>
        </w:rPr>
        <w:t xml:space="preserve"> </w:t>
      </w:r>
      <w:proofErr w:type="spellStart"/>
      <w:r w:rsidRPr="00E32E4E">
        <w:rPr>
          <w:b/>
          <w:color w:val="4472C4" w:themeColor="accent5"/>
          <w:sz w:val="24"/>
        </w:rPr>
        <w:t>qualities</w:t>
      </w:r>
      <w:proofErr w:type="spellEnd"/>
      <w:r w:rsidRPr="00E32E4E">
        <w:rPr>
          <w:b/>
          <w:color w:val="4472C4" w:themeColor="accent5"/>
          <w:sz w:val="24"/>
        </w:rPr>
        <w:t>!</w:t>
      </w:r>
    </w:p>
    <w:p w:rsidR="00E32E4E" w:rsidRPr="00E32E4E" w:rsidRDefault="00E32E4E" w:rsidP="00E32E4E">
      <w:pPr>
        <w:spacing w:after="0" w:line="240" w:lineRule="auto"/>
        <w:rPr>
          <w:b/>
          <w:color w:val="4472C4" w:themeColor="accent5"/>
          <w:sz w:val="24"/>
        </w:rPr>
      </w:pPr>
      <w:r w:rsidRPr="00E32E4E">
        <w:rPr>
          <w:b/>
          <w:color w:val="4472C4" w:themeColor="accent5"/>
          <w:sz w:val="24"/>
        </w:rPr>
        <w:t>Nepodceňuj ani nepřeceňuj.</w:t>
      </w:r>
    </w:p>
    <w:p w:rsidR="00E32E4E" w:rsidRDefault="00E32E4E" w:rsidP="00E32E4E">
      <w:pPr>
        <w:spacing w:after="0" w:line="240" w:lineRule="auto"/>
      </w:pPr>
      <w:r>
        <w:t>Nepřeceňovat ani nepodceňovat. Hledat v lidech (klientech, sportovcích, žácích) to, co jsou a ne to, co nejsou. Mít přiměřená očekávání. Nedávat lidem vlastnosti, které nemají.</w:t>
      </w:r>
    </w:p>
    <w:p w:rsidR="00E32E4E" w:rsidRDefault="00E32E4E" w:rsidP="00E32E4E">
      <w:pPr>
        <w:spacing w:after="0" w:line="240" w:lineRule="auto"/>
        <w:rPr>
          <w:b/>
        </w:rPr>
      </w:pPr>
    </w:p>
    <w:p w:rsidR="00E32E4E" w:rsidRPr="00E32E4E" w:rsidRDefault="00E32E4E" w:rsidP="00E32E4E">
      <w:pPr>
        <w:spacing w:after="0" w:line="240" w:lineRule="auto"/>
        <w:rPr>
          <w:b/>
          <w:color w:val="4472C4" w:themeColor="accent5"/>
          <w:sz w:val="24"/>
        </w:rPr>
      </w:pPr>
      <w:proofErr w:type="spellStart"/>
      <w:r w:rsidRPr="00E32E4E">
        <w:rPr>
          <w:b/>
          <w:color w:val="4472C4" w:themeColor="accent5"/>
          <w:sz w:val="24"/>
        </w:rPr>
        <w:t>Take</w:t>
      </w:r>
      <w:proofErr w:type="spellEnd"/>
      <w:r w:rsidRPr="00E32E4E">
        <w:rPr>
          <w:b/>
          <w:color w:val="4472C4" w:themeColor="accent5"/>
          <w:sz w:val="24"/>
        </w:rPr>
        <w:t xml:space="preserve"> </w:t>
      </w:r>
      <w:proofErr w:type="spellStart"/>
      <w:r w:rsidRPr="00E32E4E">
        <w:rPr>
          <w:b/>
          <w:color w:val="4472C4" w:themeColor="accent5"/>
          <w:sz w:val="24"/>
        </w:rPr>
        <w:t>money</w:t>
      </w:r>
      <w:proofErr w:type="spellEnd"/>
      <w:r w:rsidRPr="00E32E4E">
        <w:rPr>
          <w:b/>
          <w:color w:val="4472C4" w:themeColor="accent5"/>
          <w:sz w:val="24"/>
        </w:rPr>
        <w:t>!</w:t>
      </w:r>
    </w:p>
    <w:p w:rsidR="00E32E4E" w:rsidRPr="00E32E4E" w:rsidRDefault="00E32E4E" w:rsidP="00E32E4E">
      <w:pPr>
        <w:spacing w:after="0" w:line="240" w:lineRule="auto"/>
        <w:rPr>
          <w:b/>
          <w:color w:val="4472C4" w:themeColor="accent5"/>
          <w:sz w:val="24"/>
        </w:rPr>
      </w:pPr>
      <w:r w:rsidRPr="00E32E4E">
        <w:rPr>
          <w:b/>
          <w:color w:val="4472C4" w:themeColor="accent5"/>
          <w:sz w:val="24"/>
        </w:rPr>
        <w:t xml:space="preserve">Dobrovolnictví není nevolnictví. </w:t>
      </w:r>
    </w:p>
    <w:p w:rsidR="00E32E4E" w:rsidRPr="00E32E4E" w:rsidRDefault="00E32E4E" w:rsidP="00E32E4E">
      <w:pPr>
        <w:spacing w:after="0" w:line="240" w:lineRule="auto"/>
        <w:rPr>
          <w:b/>
          <w:color w:val="4472C4" w:themeColor="accent5"/>
          <w:sz w:val="24"/>
        </w:rPr>
      </w:pPr>
      <w:r w:rsidRPr="00E32E4E">
        <w:rPr>
          <w:b/>
          <w:color w:val="4472C4" w:themeColor="accent5"/>
          <w:sz w:val="24"/>
        </w:rPr>
        <w:t>Brát odměnu za práci není nemravné.</w:t>
      </w:r>
    </w:p>
    <w:p w:rsidR="00E32E4E" w:rsidRDefault="00E32E4E" w:rsidP="00E32E4E">
      <w:pPr>
        <w:spacing w:after="0" w:line="240" w:lineRule="auto"/>
      </w:pPr>
      <w:r>
        <w:t>Dobrovolnictví není nevolnictví, zaměstnání není příživnictví. Být ochoten a připraven plnit dle možností a podmínek řadu pracovních rolí a pozic. Někdy v pozici dobrovolníka, jindy jako zaměstnanec v pracovně-právním vztahu. Není nemorální požadovat za odvedenou práci finanční odměnu.</w:t>
      </w:r>
    </w:p>
    <w:p w:rsidR="00E32E4E" w:rsidRDefault="00E32E4E" w:rsidP="00E32E4E">
      <w:pPr>
        <w:spacing w:after="0" w:line="240" w:lineRule="auto"/>
        <w:rPr>
          <w:b/>
        </w:rPr>
      </w:pPr>
    </w:p>
    <w:p w:rsidR="00044A53" w:rsidRPr="00E32E4E" w:rsidRDefault="00044A53" w:rsidP="00044A53">
      <w:pPr>
        <w:spacing w:after="0" w:line="240" w:lineRule="auto"/>
        <w:rPr>
          <w:b/>
          <w:color w:val="4472C4" w:themeColor="accent5"/>
          <w:sz w:val="24"/>
        </w:rPr>
      </w:pPr>
      <w:r w:rsidRPr="00E32E4E">
        <w:rPr>
          <w:b/>
          <w:color w:val="4472C4" w:themeColor="accent5"/>
          <w:sz w:val="24"/>
        </w:rPr>
        <w:t>Adaptability!</w:t>
      </w:r>
    </w:p>
    <w:p w:rsidR="00044A53" w:rsidRPr="00E32E4E" w:rsidRDefault="00044A53" w:rsidP="00044A53">
      <w:pPr>
        <w:spacing w:after="0" w:line="240" w:lineRule="auto"/>
        <w:rPr>
          <w:b/>
          <w:color w:val="4472C4" w:themeColor="accent5"/>
          <w:sz w:val="24"/>
        </w:rPr>
      </w:pPr>
      <w:r w:rsidRPr="00E32E4E">
        <w:rPr>
          <w:b/>
          <w:color w:val="4472C4" w:themeColor="accent5"/>
          <w:sz w:val="24"/>
        </w:rPr>
        <w:t>Hledej řešení jak věci zvládnout, přizpůsobuj podmínky.</w:t>
      </w:r>
    </w:p>
    <w:p w:rsidR="00044A53" w:rsidRDefault="00044A53" w:rsidP="00044A53">
      <w:pPr>
        <w:spacing w:after="0" w:line="240" w:lineRule="auto"/>
      </w:pPr>
      <w:r>
        <w:t>Nehledáme důvody proč ne, ale hledáme řešení aneb „Každý jedinec je výzva“ – programy upravujeme s ohledem na potřeby klientů (žáků, sportovců, účastníků, uživatelů služeb); přizpůsobujeme podmínky.</w:t>
      </w:r>
    </w:p>
    <w:p w:rsidR="00E32E4E" w:rsidRDefault="00E32E4E" w:rsidP="00E32E4E">
      <w:pPr>
        <w:spacing w:after="0" w:line="240" w:lineRule="auto"/>
        <w:rPr>
          <w:b/>
        </w:rPr>
      </w:pPr>
    </w:p>
    <w:p w:rsidR="00044A53" w:rsidRPr="00E32E4E" w:rsidRDefault="00044A53" w:rsidP="00044A53">
      <w:pPr>
        <w:spacing w:after="0" w:line="240" w:lineRule="auto"/>
        <w:rPr>
          <w:b/>
          <w:color w:val="4472C4" w:themeColor="accent5"/>
          <w:sz w:val="24"/>
        </w:rPr>
      </w:pPr>
      <w:proofErr w:type="spellStart"/>
      <w:r w:rsidRPr="00E32E4E">
        <w:rPr>
          <w:b/>
          <w:color w:val="4472C4" w:themeColor="accent5"/>
          <w:sz w:val="24"/>
        </w:rPr>
        <w:t>Total</w:t>
      </w:r>
      <w:proofErr w:type="spellEnd"/>
      <w:r w:rsidRPr="00E32E4E">
        <w:rPr>
          <w:b/>
          <w:color w:val="4472C4" w:themeColor="accent5"/>
          <w:sz w:val="24"/>
        </w:rPr>
        <w:t xml:space="preserve"> </w:t>
      </w:r>
      <w:proofErr w:type="spellStart"/>
      <w:r w:rsidRPr="00E32E4E">
        <w:rPr>
          <w:b/>
          <w:color w:val="4472C4" w:themeColor="accent5"/>
          <w:sz w:val="24"/>
        </w:rPr>
        <w:t>safety</w:t>
      </w:r>
      <w:proofErr w:type="spellEnd"/>
      <w:r w:rsidRPr="00E32E4E">
        <w:rPr>
          <w:b/>
          <w:color w:val="4472C4" w:themeColor="accent5"/>
          <w:sz w:val="24"/>
        </w:rPr>
        <w:t>!</w:t>
      </w:r>
    </w:p>
    <w:p w:rsidR="00044A53" w:rsidRPr="00E32E4E" w:rsidRDefault="00044A53" w:rsidP="00044A53">
      <w:pPr>
        <w:spacing w:after="0" w:line="240" w:lineRule="auto"/>
        <w:rPr>
          <w:b/>
          <w:color w:val="4472C4" w:themeColor="accent5"/>
          <w:sz w:val="24"/>
        </w:rPr>
      </w:pPr>
      <w:r w:rsidRPr="00E32E4E">
        <w:rPr>
          <w:b/>
          <w:color w:val="4472C4" w:themeColor="accent5"/>
          <w:sz w:val="24"/>
        </w:rPr>
        <w:t>Snaž se vždy zajistit naprostou bezpečnost všech zúčastněných.</w:t>
      </w:r>
    </w:p>
    <w:p w:rsidR="00044A53" w:rsidRDefault="00044A53" w:rsidP="00044A53">
      <w:pPr>
        <w:spacing w:after="0" w:line="240" w:lineRule="auto"/>
      </w:pPr>
      <w:r>
        <w:t>Bezpečnost je na prvním místě. Aktivity (programy, kurzu) musí být obsahově vhodně aplikovány a to s ohledem na fyzické i duševní zdraví a potřeby klientů (žáků, sportovců, účastníků, uživatelů služeb). Musí být přiměřené, motivující a inspirující, smysluplně vedené.</w:t>
      </w:r>
    </w:p>
    <w:p w:rsidR="00044A53" w:rsidRDefault="00044A53" w:rsidP="00044A53">
      <w:pPr>
        <w:spacing w:after="0" w:line="240" w:lineRule="auto"/>
      </w:pPr>
    </w:p>
    <w:p w:rsidR="00E32E4E" w:rsidRPr="00E32E4E" w:rsidRDefault="00E32E4E" w:rsidP="00E32E4E">
      <w:pPr>
        <w:spacing w:after="0" w:line="240" w:lineRule="auto"/>
        <w:rPr>
          <w:b/>
          <w:color w:val="4472C4" w:themeColor="accent5"/>
          <w:sz w:val="24"/>
        </w:rPr>
      </w:pPr>
      <w:proofErr w:type="spellStart"/>
      <w:r w:rsidRPr="00E32E4E">
        <w:rPr>
          <w:b/>
          <w:color w:val="4472C4" w:themeColor="accent5"/>
          <w:sz w:val="24"/>
        </w:rPr>
        <w:t>Education</w:t>
      </w:r>
      <w:proofErr w:type="spellEnd"/>
      <w:r w:rsidRPr="00E32E4E">
        <w:rPr>
          <w:b/>
          <w:color w:val="4472C4" w:themeColor="accent5"/>
          <w:sz w:val="24"/>
        </w:rPr>
        <w:t>!</w:t>
      </w:r>
    </w:p>
    <w:p w:rsidR="00E32E4E" w:rsidRPr="00E32E4E" w:rsidRDefault="00E32E4E" w:rsidP="00E32E4E">
      <w:pPr>
        <w:spacing w:after="0" w:line="240" w:lineRule="auto"/>
        <w:rPr>
          <w:b/>
          <w:color w:val="4472C4" w:themeColor="accent5"/>
          <w:sz w:val="24"/>
        </w:rPr>
      </w:pPr>
      <w:r w:rsidRPr="00E32E4E">
        <w:rPr>
          <w:b/>
          <w:color w:val="4472C4" w:themeColor="accent5"/>
          <w:sz w:val="24"/>
        </w:rPr>
        <w:t>Stále se vzdělávej!</w:t>
      </w:r>
    </w:p>
    <w:p w:rsidR="00E32E4E" w:rsidRDefault="00E32E4E" w:rsidP="00E32E4E">
      <w:pPr>
        <w:spacing w:after="0" w:line="240" w:lineRule="auto"/>
      </w:pPr>
      <w:r>
        <w:t>Nespokojit se s tím, co vím – stále se vzdělávat. Absolvent APA na jakékoliv úrovni (předmět, kurz, licence, vysokoškolské studium) by měl mít přiměřené sebevědomí, ale zároveň si být vědom limitů svých profesních kompetencí, být pokorný. Nebýt přesvědčen jen o své pravdě, umět přemýšlet a někdy i pochybovat. Vzdělávat se, zjišťovat novinky, trendy.</w:t>
      </w:r>
    </w:p>
    <w:p w:rsidR="00E32E4E" w:rsidRDefault="00E32E4E" w:rsidP="00E32E4E">
      <w:pPr>
        <w:spacing w:after="0" w:line="240" w:lineRule="auto"/>
        <w:rPr>
          <w:b/>
        </w:rPr>
      </w:pPr>
    </w:p>
    <w:sectPr w:rsidR="00E32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4E"/>
    <w:rsid w:val="00044A53"/>
    <w:rsid w:val="00391423"/>
    <w:rsid w:val="009F571D"/>
    <w:rsid w:val="00E32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8C6B6-65BC-42F3-B573-07E22EBC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3624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FTK UP Olomouc</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Slezakova Renata</dc:creator>
  <cp:keywords/>
  <dc:description/>
  <cp:lastModifiedBy>Ondřej Ješina</cp:lastModifiedBy>
  <cp:revision>2</cp:revision>
  <dcterms:created xsi:type="dcterms:W3CDTF">2023-08-18T12:41:00Z</dcterms:created>
  <dcterms:modified xsi:type="dcterms:W3CDTF">2023-08-18T12:41:00Z</dcterms:modified>
</cp:coreProperties>
</file>